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4015D1" w:rsidRDefault="004015D1" w:rsidP="004015D1">
      <w:pPr>
        <w:overflowPunct w:val="0"/>
        <w:adjustRightInd w:val="0"/>
        <w:ind w:left="142"/>
        <w:jc w:val="both"/>
        <w:textAlignment w:val="baseline"/>
        <w:rPr>
          <w:rFonts w:ascii="Book Antiqua" w:hAnsi="Book Antiqua" w:cs="Arial"/>
          <w:b/>
        </w:rPr>
      </w:pPr>
      <w:r>
        <w:rPr>
          <w:rFonts w:ascii="Book Antiqua" w:hAnsi="Book Antiqua" w:cs="Arial"/>
        </w:rPr>
        <w:t xml:space="preserve">A empresa participante da do Pregão Eletrônico deverá apresentar toda a documentação solicitada no edital e seus anexos, sob pena de INABILITAÇÃO </w:t>
      </w:r>
      <w:r w:rsidRPr="00FA6948">
        <w:rPr>
          <w:rFonts w:ascii="Book Antiqua" w:hAnsi="Book Antiqua" w:cs="Arial"/>
        </w:rPr>
        <w:t>conforme regulamentação do</w:t>
      </w:r>
      <w:r>
        <w:rPr>
          <w:rFonts w:ascii="Book Antiqua" w:hAnsi="Book Antiqua" w:cs="Arial"/>
        </w:rPr>
        <w:t xml:space="preserve"> Decreto Municipal nº 109/2025, até a data e hora limite estipulada em edita, com autenticação digital, por qualquer processo de cópia autenticada por cartório competente, por cópia não autenticada, mediante a exibição dos originais para conferência e autenticação por agente público municipal para comprovação de validade na data de realização da licitação, sendo solicitada a autenticação em até meia hora antes do certame ou tempo hábil para a inclusão ddos documentos na plataforma</w:t>
      </w:r>
      <w:r>
        <w:rPr>
          <w:rFonts w:ascii="Book Antiqua" w:hAnsi="Book Antiqua" w:cs="Arial"/>
          <w:b/>
        </w:rPr>
        <w:t>, o endereço para autenticação por funcionário do Município, caso queira, é na Prefeitura Municipal de Rolândia, na Avenida Presidente Bernardes nº 809, centro, CEP: 86.600-067, departamento de Licitação – Prédio anexo.</w:t>
      </w:r>
    </w:p>
    <w:p w:rsidR="004015D1" w:rsidRPr="008A76FF" w:rsidRDefault="004015D1" w:rsidP="004015D1">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Pr>
          <w:rFonts w:ascii="Book Antiqua" w:hAnsi="Book Antiqua" w:cs="Arial"/>
        </w:rPr>
        <w:t xml:space="preserve"> </w:t>
      </w:r>
      <w:r w:rsidRPr="00CD3571">
        <w:rPr>
          <w:rFonts w:ascii="Book Antiqua" w:hAnsi="Book Antiqua"/>
          <w:color w:val="231F1F"/>
        </w:rPr>
        <w:t>Os documentos que não mencionarem o prazo de validade serão considerados válidos por 90</w:t>
      </w:r>
      <w:r w:rsidRPr="00CD3571">
        <w:rPr>
          <w:rFonts w:ascii="Book Antiqua" w:hAnsi="Book Antiqua"/>
          <w:color w:val="231F1F"/>
          <w:spacing w:val="1"/>
        </w:rPr>
        <w:t xml:space="preserve"> </w:t>
      </w:r>
      <w:r w:rsidRPr="00CD3571">
        <w:rPr>
          <w:rFonts w:ascii="Book Antiqua" w:hAnsi="Book Antiqua"/>
          <w:color w:val="231F1F"/>
        </w:rPr>
        <w:t>(noventa)</w:t>
      </w:r>
      <w:r w:rsidRPr="00CD3571">
        <w:rPr>
          <w:rFonts w:ascii="Book Antiqua" w:hAnsi="Book Antiqua"/>
          <w:color w:val="231F1F"/>
          <w:spacing w:val="-1"/>
        </w:rPr>
        <w:t xml:space="preserve"> </w:t>
      </w:r>
      <w:r w:rsidRPr="00CD3571">
        <w:rPr>
          <w:rFonts w:ascii="Book Antiqua" w:hAnsi="Book Antiqua"/>
          <w:color w:val="231F1F"/>
        </w:rPr>
        <w:t>dias da</w:t>
      </w:r>
      <w:r w:rsidRPr="00CD3571">
        <w:rPr>
          <w:rFonts w:ascii="Book Antiqua" w:hAnsi="Book Antiqua"/>
          <w:color w:val="231F1F"/>
          <w:spacing w:val="-3"/>
        </w:rPr>
        <w:t xml:space="preserve"> </w:t>
      </w:r>
      <w:r w:rsidRPr="00CD3571">
        <w:rPr>
          <w:rFonts w:ascii="Book Antiqua" w:hAnsi="Book Antiqua"/>
          <w:color w:val="231F1F"/>
        </w:rPr>
        <w:t>data</w:t>
      </w:r>
      <w:r w:rsidRPr="00CD3571">
        <w:rPr>
          <w:rFonts w:ascii="Book Antiqua" w:hAnsi="Book Antiqua"/>
          <w:color w:val="231F1F"/>
          <w:spacing w:val="-1"/>
        </w:rPr>
        <w:t xml:space="preserve"> </w:t>
      </w:r>
      <w:r w:rsidRPr="00CD3571">
        <w:rPr>
          <w:rFonts w:ascii="Book Antiqua" w:hAnsi="Book Antiqua"/>
          <w:color w:val="231F1F"/>
        </w:rPr>
        <w:t>da</w:t>
      </w:r>
      <w:r w:rsidRPr="00CD3571">
        <w:rPr>
          <w:rFonts w:ascii="Book Antiqua" w:hAnsi="Book Antiqua"/>
          <w:color w:val="231F1F"/>
          <w:spacing w:val="-2"/>
        </w:rPr>
        <w:t xml:space="preserve"> </w:t>
      </w:r>
      <w:r w:rsidRPr="00CD3571">
        <w:rPr>
          <w:rFonts w:ascii="Book Antiqua" w:hAnsi="Book Antiqua"/>
          <w:color w:val="231F1F"/>
        </w:rPr>
        <w:t>emissão,</w:t>
      </w:r>
      <w:r w:rsidRPr="00CD3571">
        <w:rPr>
          <w:rFonts w:ascii="Book Antiqua" w:hAnsi="Book Antiqua"/>
          <w:color w:val="231F1F"/>
          <w:spacing w:val="-2"/>
        </w:rPr>
        <w:t xml:space="preserve"> </w:t>
      </w:r>
      <w:r w:rsidRPr="00CD3571">
        <w:rPr>
          <w:rFonts w:ascii="Book Antiqua" w:hAnsi="Book Antiqua"/>
          <w:color w:val="231F1F"/>
        </w:rPr>
        <w:t>salvo</w:t>
      </w:r>
      <w:r w:rsidRPr="00CD3571">
        <w:rPr>
          <w:rFonts w:ascii="Book Antiqua" w:hAnsi="Book Antiqua"/>
          <w:color w:val="231F1F"/>
          <w:spacing w:val="-1"/>
        </w:rPr>
        <w:t xml:space="preserve"> </w:t>
      </w:r>
      <w:r w:rsidRPr="00CD3571">
        <w:rPr>
          <w:rFonts w:ascii="Book Antiqua" w:hAnsi="Book Antiqua"/>
          <w:color w:val="231F1F"/>
        </w:rPr>
        <w:t>disposição</w:t>
      </w:r>
      <w:r w:rsidRPr="00CD3571">
        <w:rPr>
          <w:rFonts w:ascii="Book Antiqua" w:hAnsi="Book Antiqua"/>
          <w:color w:val="231F1F"/>
          <w:spacing w:val="-1"/>
        </w:rPr>
        <w:t xml:space="preserve"> </w:t>
      </w:r>
      <w:r w:rsidRPr="00CD3571">
        <w:rPr>
          <w:rFonts w:ascii="Book Antiqua" w:hAnsi="Book Antiqua"/>
          <w:color w:val="231F1F"/>
        </w:rPr>
        <w:t>contrária</w:t>
      </w:r>
      <w:r w:rsidRPr="00CD3571">
        <w:rPr>
          <w:rFonts w:ascii="Book Antiqua" w:hAnsi="Book Antiqua"/>
          <w:color w:val="231F1F"/>
          <w:spacing w:val="-1"/>
        </w:rPr>
        <w:t xml:space="preserve"> </w:t>
      </w:r>
      <w:r w:rsidRPr="00CD3571">
        <w:rPr>
          <w:rFonts w:ascii="Book Antiqua" w:hAnsi="Book Antiqua"/>
          <w:color w:val="231F1F"/>
        </w:rPr>
        <w:t>de</w:t>
      </w:r>
      <w:r w:rsidRPr="00CD3571">
        <w:rPr>
          <w:rFonts w:ascii="Book Antiqua" w:hAnsi="Book Antiqua"/>
          <w:color w:val="231F1F"/>
          <w:spacing w:val="1"/>
        </w:rPr>
        <w:t xml:space="preserve"> </w:t>
      </w:r>
      <w:r w:rsidRPr="00CD3571">
        <w:rPr>
          <w:rFonts w:ascii="Book Antiqua" w:hAnsi="Book Antiqua"/>
          <w:color w:val="231F1F"/>
        </w:rPr>
        <w:t>Lei</w:t>
      </w:r>
      <w:r w:rsidRPr="00CD3571">
        <w:rPr>
          <w:rFonts w:ascii="Book Antiqua" w:hAnsi="Book Antiqua"/>
          <w:color w:val="231F1F"/>
          <w:spacing w:val="-2"/>
        </w:rPr>
        <w:t xml:space="preserve"> </w:t>
      </w:r>
      <w:r w:rsidRPr="00CD3571">
        <w:rPr>
          <w:rFonts w:ascii="Book Antiqua" w:hAnsi="Book Antiqua"/>
          <w:color w:val="231F1F"/>
        </w:rPr>
        <w:t>a</w:t>
      </w:r>
      <w:r w:rsidRPr="00CD3571">
        <w:rPr>
          <w:rFonts w:ascii="Book Antiqua" w:hAnsi="Book Antiqua"/>
          <w:color w:val="231F1F"/>
          <w:spacing w:val="-3"/>
        </w:rPr>
        <w:t xml:space="preserve"> </w:t>
      </w:r>
      <w:r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r>
        <w:rPr>
          <w:b/>
          <w:lang w:eastAsia="en-US"/>
        </w:rPr>
        <w:t>a.1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662FD2" w:rsidRPr="00662FD2" w:rsidRDefault="0001630A" w:rsidP="00662FD2">
      <w:pPr>
        <w:pStyle w:val="Estilo1"/>
        <w:ind w:left="567" w:hanging="283"/>
        <w:rPr>
          <w:lang w:eastAsia="en-US"/>
        </w:rPr>
      </w:pPr>
      <w:r>
        <w:rPr>
          <w:b/>
          <w:lang w:eastAsia="en-US"/>
        </w:rPr>
        <w:t>b</w:t>
      </w:r>
      <w:r w:rsidR="00662FD2" w:rsidRPr="006F3890">
        <w:rPr>
          <w:b/>
          <w:lang w:eastAsia="en-US"/>
        </w:rPr>
        <w:t>)</w:t>
      </w:r>
      <w:r w:rsidR="00662FD2" w:rsidRPr="00662FD2">
        <w:rPr>
          <w:lang w:eastAsia="en-US"/>
        </w:rPr>
        <w:t xml:space="preserve"> </w:t>
      </w:r>
      <w:r w:rsidR="00662FD2" w:rsidRPr="00662FD2">
        <w:t>Alvará de Localização (dispensada a apresentação para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E97B6A">
        <w:t xml:space="preserve">  </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 xml:space="preserve">   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lastRenderedPageBreak/>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583776" w:rsidRDefault="00583776" w:rsidP="00583776">
      <w:pPr>
        <w:rPr>
          <w:rFonts w:ascii="Book Antiqua" w:hAnsi="Book Antiqua"/>
        </w:rPr>
      </w:pPr>
    </w:p>
    <w:p w:rsidR="00583776" w:rsidRDefault="00583776" w:rsidP="00583776">
      <w:pPr>
        <w:pStyle w:val="PargrafodaLista"/>
        <w:numPr>
          <w:ilvl w:val="0"/>
          <w:numId w:val="6"/>
        </w:numPr>
        <w:rPr>
          <w:rFonts w:ascii="Book Antiqua" w:hAnsi="Book Antiqua"/>
        </w:rPr>
      </w:pPr>
      <w:r>
        <w:rPr>
          <w:rFonts w:ascii="Book Antiqua" w:hAnsi="Book Antiqua"/>
        </w:rPr>
        <w:t>Apresentar os seguintes ensaios dos itens cotados:</w:t>
      </w:r>
    </w:p>
    <w:p w:rsidR="00583776" w:rsidRDefault="00583776" w:rsidP="00583776">
      <w:pPr>
        <w:pStyle w:val="PargrafodaLista"/>
        <w:ind w:left="720"/>
        <w:rPr>
          <w:rFonts w:ascii="Book Antiqua" w:hAnsi="Book Antiqua"/>
        </w:rPr>
      </w:pPr>
    </w:p>
    <w:p w:rsidR="00583776" w:rsidRPr="00583776" w:rsidRDefault="00583776" w:rsidP="00583776">
      <w:pPr>
        <w:pStyle w:val="PargrafodaLista"/>
        <w:ind w:left="720"/>
        <w:rPr>
          <w:rFonts w:ascii="Book Antiqua" w:hAnsi="Book Antiqua"/>
        </w:rPr>
      </w:pPr>
      <w:r w:rsidRPr="00583776">
        <w:rPr>
          <w:rFonts w:ascii="Book Antiqua" w:hAnsi="Book Antiqua"/>
        </w:rPr>
        <w:t>- Portaria IN 20/2017</w:t>
      </w:r>
    </w:p>
    <w:p w:rsidR="00583776" w:rsidRPr="00583776" w:rsidRDefault="00583776" w:rsidP="00583776">
      <w:pPr>
        <w:pStyle w:val="PargrafodaLista"/>
        <w:ind w:left="720"/>
        <w:rPr>
          <w:rFonts w:ascii="Book Antiqua" w:hAnsi="Book Antiqua"/>
        </w:rPr>
      </w:pPr>
    </w:p>
    <w:p w:rsidR="00583776" w:rsidRPr="00583776" w:rsidRDefault="00583776" w:rsidP="00583776">
      <w:pPr>
        <w:pStyle w:val="PargrafodaLista"/>
        <w:ind w:left="720"/>
        <w:rPr>
          <w:rFonts w:ascii="Book Antiqua" w:hAnsi="Book Antiqua"/>
        </w:rPr>
      </w:pPr>
      <w:r w:rsidRPr="00583776">
        <w:rPr>
          <w:rFonts w:ascii="Book Antiqua" w:hAnsi="Book Antiqua"/>
        </w:rPr>
        <w:t>- ABNT NBR IEC 60529:2005 – Graus de proteção para invólucros de equipamentos elétricos (código IP)</w:t>
      </w:r>
    </w:p>
    <w:p w:rsidR="00583776" w:rsidRPr="00583776" w:rsidRDefault="00583776" w:rsidP="00583776">
      <w:pPr>
        <w:pStyle w:val="PargrafodaLista"/>
        <w:ind w:left="720"/>
        <w:rPr>
          <w:rFonts w:ascii="Book Antiqua" w:hAnsi="Book Antiqua"/>
        </w:rPr>
      </w:pPr>
    </w:p>
    <w:p w:rsidR="00583776" w:rsidRPr="00583776" w:rsidRDefault="00583776" w:rsidP="00583776">
      <w:pPr>
        <w:pStyle w:val="PargrafodaLista"/>
        <w:ind w:left="720"/>
        <w:rPr>
          <w:rFonts w:ascii="Book Antiqua" w:hAnsi="Book Antiqua"/>
        </w:rPr>
      </w:pPr>
      <w:r w:rsidRPr="00583776">
        <w:rPr>
          <w:rFonts w:ascii="Book Antiqua" w:hAnsi="Book Antiqua"/>
        </w:rPr>
        <w:t>- ABNT NBR IEC 60598- 1:2010 – Luminárias – Parte 1: Requisitos gerais e ensaios</w:t>
      </w:r>
    </w:p>
    <w:p w:rsidR="00583776" w:rsidRPr="00583776" w:rsidRDefault="00583776" w:rsidP="00583776">
      <w:pPr>
        <w:pStyle w:val="PargrafodaLista"/>
        <w:ind w:left="720"/>
        <w:rPr>
          <w:rFonts w:ascii="Book Antiqua" w:hAnsi="Book Antiqua"/>
        </w:rPr>
      </w:pPr>
    </w:p>
    <w:p w:rsidR="00583776" w:rsidRPr="00583776" w:rsidRDefault="00583776" w:rsidP="00583776">
      <w:pPr>
        <w:pStyle w:val="PargrafodaLista"/>
        <w:ind w:left="720"/>
        <w:rPr>
          <w:rFonts w:ascii="Book Antiqua" w:hAnsi="Book Antiqua"/>
        </w:rPr>
      </w:pPr>
      <w:r w:rsidRPr="00583776">
        <w:rPr>
          <w:rFonts w:ascii="Book Antiqua" w:hAnsi="Book Antiqua"/>
        </w:rPr>
        <w:t>- ABNT NBR IEC 61000-3-2:2014 Eletcromagnetic Compatibility (EMC)</w:t>
      </w:r>
    </w:p>
    <w:p w:rsidR="00583776" w:rsidRPr="00583776" w:rsidRDefault="00583776" w:rsidP="00583776">
      <w:pPr>
        <w:pStyle w:val="PargrafodaLista"/>
        <w:ind w:left="720"/>
        <w:rPr>
          <w:rFonts w:ascii="Book Antiqua" w:hAnsi="Book Antiqua"/>
        </w:rPr>
      </w:pPr>
    </w:p>
    <w:p w:rsidR="00583776" w:rsidRPr="00583776" w:rsidRDefault="00583776" w:rsidP="00583776">
      <w:pPr>
        <w:pStyle w:val="PargrafodaLista"/>
        <w:ind w:left="720"/>
        <w:rPr>
          <w:rFonts w:ascii="Book Antiqua" w:hAnsi="Book Antiqua"/>
        </w:rPr>
      </w:pPr>
      <w:r w:rsidRPr="00583776">
        <w:rPr>
          <w:rFonts w:ascii="Book Antiqua" w:hAnsi="Book Antiqua"/>
        </w:rPr>
        <w:t>- ABNT NBR IEC 62262 :2015  Grau de proteção externos (Codigo IK)</w:t>
      </w:r>
    </w:p>
    <w:p w:rsidR="00583776" w:rsidRPr="00583776" w:rsidRDefault="00583776" w:rsidP="00583776">
      <w:pPr>
        <w:pStyle w:val="PargrafodaLista"/>
        <w:ind w:left="720"/>
        <w:rPr>
          <w:rFonts w:ascii="Book Antiqua" w:hAnsi="Book Antiqua"/>
        </w:rPr>
      </w:pPr>
    </w:p>
    <w:p w:rsidR="00583776" w:rsidRPr="00583776" w:rsidRDefault="00583776" w:rsidP="00583776">
      <w:pPr>
        <w:pStyle w:val="PargrafodaLista"/>
        <w:ind w:left="720"/>
        <w:rPr>
          <w:rFonts w:ascii="Book Antiqua" w:hAnsi="Book Antiqua"/>
        </w:rPr>
      </w:pPr>
      <w:r w:rsidRPr="00583776">
        <w:rPr>
          <w:rFonts w:ascii="Book Antiqua" w:hAnsi="Book Antiqua"/>
        </w:rPr>
        <w:t>- IESNA LM-80 – IES Approved Method: Measuring Luminous Flux and Color Maintenance of LED Packages, Arrays and Modules</w:t>
      </w:r>
    </w:p>
    <w:p w:rsidR="00583776" w:rsidRPr="00583776" w:rsidRDefault="00583776" w:rsidP="00583776">
      <w:pPr>
        <w:pStyle w:val="PargrafodaLista"/>
        <w:ind w:left="720"/>
        <w:rPr>
          <w:rFonts w:ascii="Book Antiqua" w:hAnsi="Book Antiqua"/>
        </w:rPr>
      </w:pPr>
    </w:p>
    <w:p w:rsidR="00583776" w:rsidRPr="00583776" w:rsidRDefault="00583776" w:rsidP="00583776">
      <w:pPr>
        <w:pStyle w:val="PargrafodaLista"/>
        <w:ind w:left="720"/>
        <w:rPr>
          <w:rFonts w:ascii="Book Antiqua" w:hAnsi="Book Antiqua"/>
        </w:rPr>
      </w:pPr>
      <w:r w:rsidRPr="00583776">
        <w:rPr>
          <w:rFonts w:ascii="Book Antiqua" w:hAnsi="Book Antiqua"/>
        </w:rPr>
        <w:t>- IESNA LM-79 – Electrical and Photometric Measurements of Solid State Lighting Products</w:t>
      </w:r>
    </w:p>
    <w:p w:rsidR="00583776" w:rsidRPr="00583776" w:rsidRDefault="00583776" w:rsidP="00583776">
      <w:pPr>
        <w:pStyle w:val="PargrafodaLista"/>
        <w:ind w:left="720"/>
        <w:rPr>
          <w:rFonts w:ascii="Book Antiqua" w:hAnsi="Book Antiqua"/>
        </w:rPr>
      </w:pPr>
    </w:p>
    <w:p w:rsidR="00583776" w:rsidRPr="00583776" w:rsidRDefault="00583776" w:rsidP="00583776">
      <w:pPr>
        <w:pStyle w:val="PargrafodaLista"/>
        <w:ind w:left="720"/>
        <w:rPr>
          <w:rFonts w:ascii="Book Antiqua" w:hAnsi="Book Antiqua"/>
        </w:rPr>
      </w:pPr>
      <w:r w:rsidRPr="00583776">
        <w:rPr>
          <w:rFonts w:ascii="Book Antiqua" w:hAnsi="Book Antiqua"/>
        </w:rPr>
        <w:t>- IESNA TM-21 – Projecting Long Term Lumen Maintenance of LED Light Sources</w:t>
      </w: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sidR="00583776">
        <w:rPr>
          <w:rFonts w:ascii="Book Antiqua" w:hAnsi="Book Antiqua"/>
          <w:i/>
        </w:rPr>
        <w:t xml:space="preserve"> e ensaios</w:t>
      </w:r>
      <w:r>
        <w:rPr>
          <w:rFonts w:ascii="Book Antiqua" w:hAnsi="Book Antiqua"/>
          <w:i/>
        </w:rPr>
        <w:t>.</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lastRenderedPageBreak/>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023F8B" w:rsidRDefault="006017ED" w:rsidP="006017ED">
      <w:pPr>
        <w:pStyle w:val="Estilo1"/>
        <w:rPr>
          <w:lang w:eastAsia="en-US"/>
        </w:rPr>
      </w:pPr>
      <w:r>
        <w:rPr>
          <w:lang w:eastAsia="en-US"/>
        </w:rPr>
        <w:t>6.1)</w:t>
      </w:r>
      <w:r w:rsidR="00023F8B">
        <w:rPr>
          <w:lang w:eastAsia="en-US"/>
        </w:rPr>
        <w:t xml:space="preserve"> Comprovação </w:t>
      </w:r>
      <w:r>
        <w:rPr>
          <w:lang w:eastAsia="en-US"/>
        </w:rPr>
        <w:t>de enquadramento em MEI/ME/EPP</w:t>
      </w:r>
    </w:p>
    <w:p w:rsidR="00023F8B" w:rsidRPr="00D66234" w:rsidRDefault="00023F8B" w:rsidP="00D66234">
      <w:pPr>
        <w:jc w:val="both"/>
        <w:rPr>
          <w:rFonts w:ascii="Book Antiqua" w:hAnsi="Book Antiqua"/>
        </w:rPr>
      </w:pPr>
    </w:p>
    <w:p w:rsidR="00195414" w:rsidRDefault="0001630A" w:rsidP="00D66234">
      <w:pPr>
        <w:jc w:val="both"/>
        <w:rPr>
          <w:rFonts w:ascii="Book Antiqua" w:hAnsi="Book Antiqua"/>
        </w:rPr>
      </w:pPr>
      <w:r>
        <w:rPr>
          <w:rFonts w:ascii="Book Antiqua" w:hAnsi="Book Antiqua"/>
        </w:rPr>
        <w:t xml:space="preserve">PARA A </w:t>
      </w:r>
      <w:r w:rsidR="00195414" w:rsidRPr="00D66234">
        <w:rPr>
          <w:rFonts w:ascii="Book Antiqua" w:hAnsi="Book Antiqua"/>
        </w:rPr>
        <w:t>COMPROVA</w:t>
      </w:r>
      <w:r>
        <w:rPr>
          <w:rFonts w:ascii="Book Antiqua" w:hAnsi="Book Antiqua"/>
        </w:rPr>
        <w:t>ÇÃO</w:t>
      </w:r>
      <w:r w:rsidR="00195414" w:rsidRPr="00D66234">
        <w:rPr>
          <w:rFonts w:ascii="Book Antiqua" w:hAnsi="Book Antiqua"/>
        </w:rPr>
        <w:t xml:space="preserve"> DA CONDIÇÃO DE ME OU EPP, se for o caso</w:t>
      </w:r>
      <w:r w:rsidR="00023F8B">
        <w:rPr>
          <w:rFonts w:ascii="Book Antiqua" w:hAnsi="Book Antiqua"/>
        </w:rPr>
        <w:t xml:space="preserve"> apresentar</w:t>
      </w:r>
      <w:r w:rsidR="00195414" w:rsidRPr="00D66234">
        <w:rPr>
          <w:rFonts w:ascii="Book Antiqua" w:hAnsi="Book Antiqua"/>
        </w:rPr>
        <w:t>:</w:t>
      </w:r>
    </w:p>
    <w:p w:rsidR="0001630A" w:rsidRPr="00D66234" w:rsidRDefault="0001630A" w:rsidP="00D66234">
      <w:pPr>
        <w:jc w:val="both"/>
        <w:rPr>
          <w:rFonts w:ascii="Book Antiqua" w:hAnsi="Book Antiqua"/>
        </w:rPr>
      </w:pPr>
    </w:p>
    <w:p w:rsidR="00195414" w:rsidRDefault="006017ED" w:rsidP="00D66234">
      <w:pPr>
        <w:jc w:val="both"/>
        <w:rPr>
          <w:rFonts w:ascii="Book Antiqua" w:hAnsi="Book Antiqua"/>
        </w:rPr>
      </w:pPr>
      <w:r>
        <w:rPr>
          <w:rFonts w:ascii="Book Antiqua" w:hAnsi="Book Antiqua"/>
        </w:rPr>
        <w:lastRenderedPageBreak/>
        <w:t xml:space="preserve">6.1.1 </w:t>
      </w:r>
      <w:r w:rsidR="0001630A">
        <w:rPr>
          <w:rFonts w:ascii="Book Antiqua" w:hAnsi="Book Antiqua"/>
        </w:rPr>
        <w:t xml:space="preserve">- </w:t>
      </w:r>
      <w:r w:rsidR="00195414" w:rsidRPr="00D66234">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01630A" w:rsidRPr="006017ED" w:rsidRDefault="00CC3099" w:rsidP="00D66234">
      <w:pPr>
        <w:jc w:val="both"/>
        <w:rPr>
          <w:rFonts w:ascii="Book Antiqua" w:hAnsi="Book Antiqua"/>
          <w:b/>
        </w:rPr>
      </w:pPr>
      <w:r w:rsidRPr="006017ED">
        <w:rPr>
          <w:rFonts w:ascii="Book Antiqua" w:hAnsi="Book Antiqua"/>
          <w:b/>
        </w:rPr>
        <w:t>Ou</w:t>
      </w:r>
    </w:p>
    <w:p w:rsidR="00CC3099" w:rsidRPr="00662FD2" w:rsidRDefault="006017ED" w:rsidP="00CC3099">
      <w:pPr>
        <w:pStyle w:val="Estilo1"/>
        <w:rPr>
          <w:lang w:eastAsia="en-US"/>
        </w:rPr>
      </w:pPr>
      <w:r>
        <w:rPr>
          <w:lang w:eastAsia="en-US"/>
        </w:rPr>
        <w:t xml:space="preserve">6.1.2 </w:t>
      </w:r>
      <w:r w:rsidR="00CC3099">
        <w:rPr>
          <w:lang w:eastAsia="en-US"/>
        </w:rPr>
        <w:t>-</w:t>
      </w:r>
      <w:r w:rsidR="00CC3099" w:rsidRPr="00662FD2">
        <w:rPr>
          <w:lang w:eastAsia="en-US"/>
        </w:rPr>
        <w:t xml:space="preserve"> Certidão Simplificada da Junta Comercial (</w:t>
      </w:r>
      <w:r w:rsidR="00CC3099" w:rsidRPr="00662FD2">
        <w:t xml:space="preserve">Os </w:t>
      </w:r>
      <w:proofErr w:type="spellStart"/>
      <w:r w:rsidR="00CC3099" w:rsidRPr="00662FD2">
        <w:t>Microempreendedores</w:t>
      </w:r>
      <w:proofErr w:type="spellEnd"/>
      <w:r w:rsidR="00CC3099" w:rsidRPr="00662FD2">
        <w:t xml:space="preserve"> individuais, por serem dispensados de apresentar Certidão expedida pela Junta Comercial e o DRE, devendo apresentar o Certificado da Condição de </w:t>
      </w:r>
      <w:proofErr w:type="spellStart"/>
      <w:r w:rsidR="00CC3099" w:rsidRPr="00662FD2">
        <w:t>Microempreendedor</w:t>
      </w:r>
      <w:proofErr w:type="spellEnd"/>
      <w:r w:rsidR="00CC3099" w:rsidRPr="00662FD2">
        <w:t xml:space="preserve"> Individual; Os </w:t>
      </w:r>
      <w:proofErr w:type="spellStart"/>
      <w:r w:rsidR="00CC3099" w:rsidRPr="00662FD2">
        <w:t>Microempreendedores</w:t>
      </w:r>
      <w:proofErr w:type="spellEnd"/>
      <w:r w:rsidR="00CC3099" w:rsidRPr="00662FD2">
        <w:t xml:space="preserve"> individuais deverão comprovar o ramo de atividade compatível mediante a apresentação do Certificado da Condição de </w:t>
      </w:r>
      <w:proofErr w:type="spellStart"/>
      <w:r w:rsidR="00CC3099" w:rsidRPr="00662FD2">
        <w:t>Microempreendedor</w:t>
      </w:r>
      <w:proofErr w:type="spellEnd"/>
      <w:r w:rsidR="00CC3099" w:rsidRPr="00662FD2">
        <w:t xml:space="preserve"> Individual;</w:t>
      </w:r>
      <w:r w:rsidR="00CC3099" w:rsidRPr="00662FD2">
        <w:rPr>
          <w:lang w:eastAsia="en-US"/>
        </w:rPr>
        <w:t>).</w:t>
      </w:r>
      <w:r w:rsidR="00CC3099">
        <w:rPr>
          <w:lang w:eastAsia="en-US"/>
        </w:rPr>
        <w:t xml:space="preserve"> </w:t>
      </w:r>
      <w:r w:rsidR="00CC3099" w:rsidRPr="00BF5B71">
        <w:rPr>
          <w:lang w:eastAsia="en-US"/>
        </w:rPr>
        <w:t>Empresas enquadradas com sociedade simples poderão, em substituição do item anterior, apresentar o registro</w:t>
      </w:r>
      <w:r w:rsidR="00CC3099">
        <w:rPr>
          <w:b/>
          <w:lang w:eastAsia="en-US"/>
        </w:rPr>
        <w:t xml:space="preserve"> </w:t>
      </w:r>
      <w:r w:rsidR="00CC3099">
        <w:t>no Cartório de Registro Civil de Pessoas Jurídicas.</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lastRenderedPageBreak/>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64513"/>
  </w:hdrShapeDefaults>
  <w:footnotePr>
    <w:footnote w:id="0"/>
    <w:footnote w:id="1"/>
  </w:footnotePr>
  <w:endnotePr>
    <w:endnote w:id="0"/>
    <w:endnote w:id="1"/>
  </w:endnotePr>
  <w:compat/>
  <w:rsids>
    <w:rsidRoot w:val="00195414"/>
    <w:rsid w:val="00001335"/>
    <w:rsid w:val="0001630A"/>
    <w:rsid w:val="00023F8B"/>
    <w:rsid w:val="000343FA"/>
    <w:rsid w:val="00062682"/>
    <w:rsid w:val="00075380"/>
    <w:rsid w:val="00082515"/>
    <w:rsid w:val="000B1A37"/>
    <w:rsid w:val="000B49A5"/>
    <w:rsid w:val="000D5B11"/>
    <w:rsid w:val="00135707"/>
    <w:rsid w:val="00135B7D"/>
    <w:rsid w:val="00195414"/>
    <w:rsid w:val="00226636"/>
    <w:rsid w:val="00291E39"/>
    <w:rsid w:val="002C0431"/>
    <w:rsid w:val="002D4BDA"/>
    <w:rsid w:val="003021CF"/>
    <w:rsid w:val="003E4978"/>
    <w:rsid w:val="004015D1"/>
    <w:rsid w:val="00423EE8"/>
    <w:rsid w:val="004D11A4"/>
    <w:rsid w:val="004E6498"/>
    <w:rsid w:val="00571FAB"/>
    <w:rsid w:val="0057373B"/>
    <w:rsid w:val="00583776"/>
    <w:rsid w:val="005C38C5"/>
    <w:rsid w:val="005F631A"/>
    <w:rsid w:val="006017ED"/>
    <w:rsid w:val="0061490F"/>
    <w:rsid w:val="0065503A"/>
    <w:rsid w:val="00662FD2"/>
    <w:rsid w:val="006666D6"/>
    <w:rsid w:val="006F3890"/>
    <w:rsid w:val="006F5614"/>
    <w:rsid w:val="00771D11"/>
    <w:rsid w:val="007A0677"/>
    <w:rsid w:val="007E753C"/>
    <w:rsid w:val="00832C2F"/>
    <w:rsid w:val="008B487B"/>
    <w:rsid w:val="008B4D52"/>
    <w:rsid w:val="008C6A39"/>
    <w:rsid w:val="008D29EB"/>
    <w:rsid w:val="0097058E"/>
    <w:rsid w:val="009C1253"/>
    <w:rsid w:val="009D6E9F"/>
    <w:rsid w:val="009F7B8A"/>
    <w:rsid w:val="00A10AC2"/>
    <w:rsid w:val="00A355B5"/>
    <w:rsid w:val="00A45C54"/>
    <w:rsid w:val="00AB2EE3"/>
    <w:rsid w:val="00AF4C96"/>
    <w:rsid w:val="00B034C9"/>
    <w:rsid w:val="00B13BFC"/>
    <w:rsid w:val="00B32051"/>
    <w:rsid w:val="00B3732C"/>
    <w:rsid w:val="00B550B0"/>
    <w:rsid w:val="00BF5B71"/>
    <w:rsid w:val="00C55D21"/>
    <w:rsid w:val="00C651FB"/>
    <w:rsid w:val="00C72E14"/>
    <w:rsid w:val="00CA6B7F"/>
    <w:rsid w:val="00CB3355"/>
    <w:rsid w:val="00CB589E"/>
    <w:rsid w:val="00CC3099"/>
    <w:rsid w:val="00D66234"/>
    <w:rsid w:val="00D740DB"/>
    <w:rsid w:val="00D831EF"/>
    <w:rsid w:val="00DE2E22"/>
    <w:rsid w:val="00DE6146"/>
    <w:rsid w:val="00E80C3C"/>
    <w:rsid w:val="00EA65CC"/>
    <w:rsid w:val="00EB05A4"/>
    <w:rsid w:val="00F37C16"/>
    <w:rsid w:val="00F94345"/>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6</Pages>
  <Words>2128</Words>
  <Characters>11494</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41</cp:revision>
  <dcterms:created xsi:type="dcterms:W3CDTF">2022-06-08T11:51:00Z</dcterms:created>
  <dcterms:modified xsi:type="dcterms:W3CDTF">2025-03-14T11:57:00Z</dcterms:modified>
</cp:coreProperties>
</file>